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11D8" w14:textId="7A9E961F" w:rsidR="006A010E" w:rsidRPr="002E420F" w:rsidRDefault="006A010E" w:rsidP="007E56DB">
      <w:pPr>
        <w:spacing w:after="0" w:line="240" w:lineRule="auto"/>
        <w:rPr>
          <w:rFonts w:ascii="Arial Narrow" w:hAnsi="Arial Narrow"/>
          <w:sz w:val="24"/>
          <w:szCs w:val="24"/>
        </w:rPr>
      </w:pPr>
      <w:r w:rsidRPr="002E420F">
        <w:rPr>
          <w:rFonts w:ascii="Arial Narrow" w:hAnsi="Arial Narrow"/>
          <w:b/>
          <w:sz w:val="24"/>
          <w:szCs w:val="24"/>
        </w:rPr>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C0149D" w:rsidRDefault="006A010E" w:rsidP="00C0149D">
      <w:pPr>
        <w:pStyle w:val="Zgradbadokumenta"/>
        <w:spacing w:line="240" w:lineRule="auto"/>
        <w:rPr>
          <w:rFonts w:ascii="Arial Narrow" w:eastAsia="Calibri" w:hAnsi="Arial Narrow"/>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C0149D" w:rsidRDefault="00FD6066" w:rsidP="00C0149D">
      <w:pPr>
        <w:pStyle w:val="Zgradbadokumenta"/>
        <w:spacing w:line="240" w:lineRule="auto"/>
        <w:rPr>
          <w:rFonts w:ascii="Arial Narrow" w:eastAsia="Calibri" w:hAnsi="Arial Narrow"/>
          <w:lang w:val="sl-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bookmarkStart w:id="0" w:name="_GoBack"/>
            <w:bookmarkEnd w:id="0"/>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4050"/>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bili v stanju insolventnosti, v skladu z določbami Zakona o finančnem poslovanju, postopkih zaradi insolventnosti in prisilnem prenehanju (Uradni list RS, št. 13/14 – uradno prečiščeno besedilo, 10/15 – </w:t>
            </w:r>
            <w:proofErr w:type="spellStart"/>
            <w:r w:rsidRPr="009F6E5B">
              <w:rPr>
                <w:rFonts w:ascii="Arial Narrow" w:eastAsia="Times New Roman" w:hAnsi="Arial Narrow"/>
                <w:sz w:val="20"/>
                <w:szCs w:val="20"/>
                <w:lang w:eastAsia="sl-SI"/>
              </w:rPr>
              <w:t>popr</w:t>
            </w:r>
            <w:proofErr w:type="spellEnd"/>
            <w:r w:rsidRPr="009F6E5B">
              <w:rPr>
                <w:rFonts w:ascii="Arial Narrow" w:eastAsia="Times New Roman" w:hAnsi="Arial Narrow"/>
                <w:sz w:val="20"/>
                <w:szCs w:val="20"/>
                <w:lang w:eastAsia="sl-SI"/>
              </w:rPr>
              <w:t xml:space="preserve">., 27/16, 31/16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xml:space="preserve">. US in 38/16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lastRenderedPageBreak/>
              <w:t>kadar je znesek pomoči določen na podlagi cene oziroma količine takih proizvodov, ki so kupljeni od 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9F6E5B">
              <w:rPr>
                <w:rFonts w:ascii="Arial Narrow" w:hAnsi="Arial Narrow" w:cs="Arial"/>
                <w:sz w:val="20"/>
                <w:szCs w:val="20"/>
              </w:rPr>
              <w:t>minimis</w:t>
            </w:r>
            <w:proofErr w:type="spellEnd"/>
            <w:r w:rsidRPr="009F6E5B">
              <w:rPr>
                <w:rFonts w:ascii="Arial Narrow" w:hAnsi="Arial Narrow" w:cs="Arial"/>
                <w:sz w:val="20"/>
                <w:szCs w:val="20"/>
              </w:rPr>
              <w:t>,</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56B9F5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7090C95E" w14:textId="35A3E70B" w:rsidR="001B63DC" w:rsidRPr="00211C18" w:rsidRDefault="004054CB" w:rsidP="004054CB">
      <w:pPr>
        <w:spacing w:after="0" w:line="240" w:lineRule="auto"/>
        <w:rPr>
          <w:rFonts w:ascii="Arial Narrow" w:hAnsi="Arial Narrow" w:cs="Arial"/>
          <w:lang w:eastAsia="sl-SI"/>
        </w:rPr>
      </w:pPr>
      <w:r w:rsidRPr="00211C18">
        <w:rPr>
          <w:rFonts w:ascii="Arial Narrow" w:hAnsi="Arial Narrow" w:cs="Arial"/>
          <w:lang w:eastAsia="sl-SI"/>
        </w:rPr>
        <w:t xml:space="preserve"> </w:t>
      </w:r>
    </w:p>
    <w:sectPr w:rsidR="001B63DC" w:rsidRPr="00211C18" w:rsidSect="004054CB">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13083408" w:rsidR="008C3511" w:rsidRDefault="008C3511" w:rsidP="00DA5BBA">
    <w:pPr>
      <w:pStyle w:val="Noga"/>
      <w:jc w:val="center"/>
      <w:rPr>
        <w:b/>
        <w:bCs/>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C0149D">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C0149D">
      <w:rPr>
        <w:b/>
        <w:bCs/>
        <w:noProof/>
        <w:sz w:val="16"/>
        <w:szCs w:val="16"/>
      </w:rPr>
      <w:t>2</w:t>
    </w:r>
    <w:r w:rsidRPr="00FF4E19">
      <w:rPr>
        <w:b/>
        <w:bCs/>
        <w:sz w:val="16"/>
        <w:szCs w:val="16"/>
      </w:rPr>
      <w:fldChar w:fldCharType="end"/>
    </w:r>
  </w:p>
  <w:p w14:paraId="73F0A312" w14:textId="030FC908" w:rsidR="00C0149D" w:rsidRPr="00FF4E19" w:rsidRDefault="00C0149D" w:rsidP="00C0149D">
    <w:pPr>
      <w:pStyle w:val="Noga"/>
      <w:jc w:val="right"/>
      <w:rPr>
        <w:sz w:val="16"/>
        <w:szCs w:val="16"/>
      </w:rPr>
    </w:pPr>
    <w:proofErr w:type="spellStart"/>
    <w:r>
      <w:rPr>
        <w:bCs/>
        <w:i/>
        <w:color w:val="A6A6A6" w:themeColor="background1" w:themeShade="A6"/>
        <w:sz w:val="16"/>
        <w:szCs w:val="16"/>
      </w:rPr>
      <w:t>Verzija</w:t>
    </w:r>
    <w:proofErr w:type="spellEnd"/>
    <w:r>
      <w:rPr>
        <w:bCs/>
        <w:i/>
        <w:color w:val="A6A6A6" w:themeColor="background1" w:themeShade="A6"/>
        <w:sz w:val="16"/>
        <w:szCs w:val="16"/>
      </w:rPr>
      <w:t xml:space="preserve"> 24.7.2019</w:t>
    </w:r>
  </w:p>
  <w:p w14:paraId="1E6A6A10" w14:textId="77777777" w:rsidR="008C3511" w:rsidRDefault="008C3511" w:rsidP="006515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D2174F2"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054CB">
      <w:rPr>
        <w:b/>
        <w:bCs/>
        <w:noProof/>
        <w:sz w:val="16"/>
        <w:szCs w:val="16"/>
      </w:rPr>
      <w:t>8</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054CB">
      <w:rPr>
        <w:b/>
        <w:bCs/>
        <w:noProof/>
        <w:sz w:val="16"/>
        <w:szCs w:val="16"/>
      </w:rPr>
      <w:t>8</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1249F2F5" w14:textId="4942F56D" w:rsidR="008C3511" w:rsidRPr="00D70A56" w:rsidRDefault="008C3511"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2">
    <w:p w14:paraId="46C2BC8B" w14:textId="77777777" w:rsidR="008C3511" w:rsidRPr="00893896" w:rsidRDefault="008C3511">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C555" w14:textId="67CE9CA7" w:rsidR="00E31CF9" w:rsidRDefault="00E31CF9" w:rsidP="003801C9">
    <w:pPr>
      <w:autoSpaceDE w:val="0"/>
      <w:autoSpaceDN w:val="0"/>
      <w:adjustRightInd w:val="0"/>
      <w:spacing w:line="240" w:lineRule="auto"/>
      <w:rPr>
        <w:noProof/>
        <w:lang w:eastAsia="sl-SI"/>
      </w:rPr>
    </w:pPr>
    <w:r>
      <w:rPr>
        <w:noProof/>
        <w:lang w:eastAsia="sl-SI"/>
      </w:rPr>
      <w:drawing>
        <wp:anchor distT="0" distB="0" distL="114300" distR="114300" simplePos="0" relativeHeight="251659264" behindDoc="1" locked="0" layoutInCell="1" allowOverlap="1" wp14:anchorId="7C5CB0C5" wp14:editId="5DFA8116">
          <wp:simplePos x="0" y="0"/>
          <wp:positionH relativeFrom="column">
            <wp:posOffset>-885825</wp:posOffset>
          </wp:positionH>
          <wp:positionV relativeFrom="paragraph">
            <wp:posOffset>-429260</wp:posOffset>
          </wp:positionV>
          <wp:extent cx="7560000" cy="1225451"/>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pisna dokumentacija glav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451"/>
                  </a:xfrm>
                  <a:prstGeom prst="rect">
                    <a:avLst/>
                  </a:prstGeom>
                </pic:spPr>
              </pic:pic>
            </a:graphicData>
          </a:graphic>
          <wp14:sizeRelH relativeFrom="page">
            <wp14:pctWidth>0</wp14:pctWidth>
          </wp14:sizeRelH>
          <wp14:sizeRelV relativeFrom="page">
            <wp14:pctHeight>0</wp14:pctHeight>
          </wp14:sizeRelV>
        </wp:anchor>
      </w:drawing>
    </w:r>
  </w:p>
  <w:p w14:paraId="112D2DEF" w14:textId="77777777" w:rsidR="00E31CF9" w:rsidRDefault="00E31CF9" w:rsidP="003801C9">
    <w:pPr>
      <w:autoSpaceDE w:val="0"/>
      <w:autoSpaceDN w:val="0"/>
      <w:adjustRightInd w:val="0"/>
      <w:spacing w:line="240" w:lineRule="auto"/>
      <w:rPr>
        <w:noProof/>
        <w:lang w:eastAsia="sl-SI"/>
      </w:rPr>
    </w:pPr>
  </w:p>
  <w:p w14:paraId="5D7F83E3" w14:textId="2B263806" w:rsidR="008C3511" w:rsidRDefault="008C3511" w:rsidP="003801C9">
    <w:pPr>
      <w:autoSpaceDE w:val="0"/>
      <w:autoSpaceDN w:val="0"/>
      <w:adjustRightInd w:val="0"/>
      <w:spacing w:line="240" w:lineRule="auto"/>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4CB"/>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49D"/>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1CF9"/>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450127505">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D6CC-9113-407E-A703-5399A66E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1290</Words>
  <Characters>7355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8628</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6</cp:revision>
  <cp:lastPrinted>2018-04-16T13:45:00Z</cp:lastPrinted>
  <dcterms:created xsi:type="dcterms:W3CDTF">2018-04-18T05:46:00Z</dcterms:created>
  <dcterms:modified xsi:type="dcterms:W3CDTF">2019-07-24T06:48:00Z</dcterms:modified>
</cp:coreProperties>
</file>