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153"/>
        <w:gridCol w:w="3064"/>
      </w:tblGrid>
      <w:tr w:rsidR="00BD69E5" w:rsidTr="00663ADD">
        <w:trPr>
          <w:trHeight w:val="904"/>
        </w:trPr>
        <w:tc>
          <w:tcPr>
            <w:tcW w:w="3069" w:type="dxa"/>
            <w:vAlign w:val="bottom"/>
          </w:tcPr>
          <w:p w:rsidR="00BD69E5" w:rsidRDefault="00BD69E5" w:rsidP="00766A2B">
            <w:pPr>
              <w:pStyle w:val="Header"/>
            </w:pPr>
            <w:r w:rsidRPr="00C73F61">
              <w:rPr>
                <w:noProof/>
                <w:lang w:eastAsia="zh-CN"/>
              </w:rPr>
              <w:drawing>
                <wp:inline distT="0" distB="0" distL="0" distR="0" wp14:anchorId="2EA3003B" wp14:editId="3E4CB2C6">
                  <wp:extent cx="1483746" cy="438140"/>
                  <wp:effectExtent l="19050" t="0" r="2154" b="0"/>
                  <wp:docPr id="1"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BD69E5" w:rsidRDefault="00BD69E5" w:rsidP="00766A2B">
            <w:pPr>
              <w:pStyle w:val="Header"/>
              <w:spacing w:before="120"/>
              <w:ind w:left="57"/>
            </w:pPr>
            <w:r w:rsidRPr="00C73F61">
              <w:rPr>
                <w:noProof/>
                <w:lang w:eastAsia="zh-CN"/>
              </w:rPr>
              <w:drawing>
                <wp:inline distT="0" distB="0" distL="0" distR="0" wp14:anchorId="1F731984" wp14:editId="1DA6B0A7">
                  <wp:extent cx="1809750" cy="524044"/>
                  <wp:effectExtent l="19050" t="0" r="0" b="0"/>
                  <wp:docPr id="2"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7"/>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64" w:type="dxa"/>
          </w:tcPr>
          <w:p w:rsidR="00BD69E5" w:rsidRDefault="00BD69E5" w:rsidP="00766A2B">
            <w:pPr>
              <w:pStyle w:val="Header"/>
            </w:pPr>
            <w:r>
              <w:rPr>
                <w:noProof/>
                <w:lang w:eastAsia="zh-CN"/>
              </w:rPr>
              <w:drawing>
                <wp:anchor distT="0" distB="0" distL="114300" distR="114300" simplePos="0" relativeHeight="251659264" behindDoc="0" locked="0" layoutInCell="1" allowOverlap="1" wp14:anchorId="1ED3A606" wp14:editId="3895063A">
                  <wp:simplePos x="0" y="0"/>
                  <wp:positionH relativeFrom="column">
                    <wp:posOffset>21590</wp:posOffset>
                  </wp:positionH>
                  <wp:positionV relativeFrom="paragraph">
                    <wp:posOffset>26670</wp:posOffset>
                  </wp:positionV>
                  <wp:extent cx="1372235" cy="484505"/>
                  <wp:effectExtent l="1905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8"/>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BD69E5" w:rsidRDefault="00BD69E5" w:rsidP="00766A2B">
            <w:pPr>
              <w:pStyle w:val="Header"/>
            </w:pPr>
          </w:p>
          <w:p w:rsidR="00BD69E5" w:rsidRDefault="00BD69E5" w:rsidP="00766A2B">
            <w:pPr>
              <w:pStyle w:val="Header"/>
            </w:pPr>
          </w:p>
        </w:tc>
      </w:tr>
    </w:tbl>
    <w:p w:rsidR="00663ADD" w:rsidRPr="004B00C0" w:rsidRDefault="00663ADD" w:rsidP="00663ADD">
      <w:pPr>
        <w:pStyle w:val="Heading3"/>
        <w:spacing w:line="240" w:lineRule="auto"/>
        <w:rPr>
          <w:rFonts w:ascii="Arial Narrow" w:hAnsi="Arial Narrow"/>
          <w:i w:val="0"/>
          <w:szCs w:val="22"/>
        </w:rPr>
      </w:pPr>
      <w:r w:rsidRPr="004B00C0">
        <w:rPr>
          <w:rFonts w:ascii="Arial Narrow" w:hAnsi="Arial Narrow"/>
          <w:i w:val="0"/>
          <w:szCs w:val="22"/>
        </w:rPr>
        <w:t xml:space="preserve">Obrazec št. 2: IZJAVA </w:t>
      </w:r>
      <w:r>
        <w:rPr>
          <w:rFonts w:ascii="Arial Narrow" w:hAnsi="Arial Narrow"/>
          <w:i w:val="0"/>
          <w:szCs w:val="22"/>
        </w:rPr>
        <w:t>PRIJAVITELJA</w:t>
      </w:r>
    </w:p>
    <w:p w:rsidR="00663ADD" w:rsidRPr="00AE192D" w:rsidRDefault="00663ADD" w:rsidP="00663ADD">
      <w:pPr>
        <w:rPr>
          <w:lang w:eastAsia="sl-SI"/>
        </w:rPr>
      </w:pPr>
    </w:p>
    <w:tbl>
      <w:tblPr>
        <w:tblW w:w="0" w:type="auto"/>
        <w:tblLook w:val="01E0" w:firstRow="1" w:lastRow="1" w:firstColumn="1" w:lastColumn="1" w:noHBand="0" w:noVBand="0"/>
      </w:tblPr>
      <w:tblGrid>
        <w:gridCol w:w="9286"/>
      </w:tblGrid>
      <w:tr w:rsidR="00663ADD" w:rsidRPr="00AF6D4B" w:rsidTr="00766A2B">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663ADD" w:rsidRPr="00DA2039" w:rsidRDefault="00663ADD" w:rsidP="00766A2B">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p>
        </w:tc>
      </w:tr>
    </w:tbl>
    <w:p w:rsidR="00663ADD" w:rsidRDefault="00663ADD" w:rsidP="00663ADD">
      <w:pPr>
        <w:pStyle w:val="TEKST"/>
        <w:spacing w:line="240" w:lineRule="auto"/>
        <w:rPr>
          <w:rFonts w:ascii="Arial Narrow" w:hAnsi="Arial Narrow"/>
          <w:sz w:val="20"/>
          <w:szCs w:val="20"/>
        </w:rPr>
      </w:pPr>
    </w:p>
    <w:p w:rsidR="00663ADD" w:rsidRDefault="00663ADD" w:rsidP="00663ADD">
      <w:pPr>
        <w:pStyle w:val="TEKST"/>
        <w:spacing w:line="240" w:lineRule="auto"/>
        <w:rPr>
          <w:rFonts w:ascii="Arial Narrow" w:hAnsi="Arial Narrow"/>
          <w:sz w:val="20"/>
          <w:szCs w:val="20"/>
        </w:rPr>
      </w:pPr>
    </w:p>
    <w:p w:rsidR="00663ADD" w:rsidRPr="00EF3A5D" w:rsidRDefault="00663ADD" w:rsidP="00663ADD">
      <w:pPr>
        <w:pStyle w:val="TEKST"/>
        <w:spacing w:line="240" w:lineRule="auto"/>
        <w:rPr>
          <w:rFonts w:ascii="Arial Narrow" w:hAnsi="Arial Narrow"/>
          <w:b/>
          <w:szCs w:val="22"/>
        </w:rPr>
      </w:pPr>
      <w:r w:rsidRPr="00EF3A5D">
        <w:rPr>
          <w:rFonts w:ascii="Arial Narrow" w:hAnsi="Arial Narrow"/>
          <w:b/>
          <w:szCs w:val="22"/>
        </w:rPr>
        <w:t xml:space="preserve">Zakoniti zastopnik </w:t>
      </w:r>
      <w:r>
        <w:rPr>
          <w:rFonts w:ascii="Arial Narrow" w:hAnsi="Arial Narrow"/>
          <w:b/>
          <w:szCs w:val="22"/>
        </w:rPr>
        <w:t>___________</w:t>
      </w:r>
      <w:r w:rsidRPr="00FD6565">
        <w:rPr>
          <w:rFonts w:ascii="Arial Narrow" w:hAnsi="Arial Narrow"/>
          <w:i/>
          <w:sz w:val="20"/>
          <w:szCs w:val="20"/>
        </w:rPr>
        <w:t xml:space="preserve"> (vpišite ime in priimek)</w:t>
      </w:r>
      <w:r w:rsidRPr="00EF3A5D">
        <w:rPr>
          <w:rFonts w:ascii="Arial Narrow" w:hAnsi="Arial Narrow"/>
          <w:b/>
          <w:szCs w:val="22"/>
        </w:rPr>
        <w:t xml:space="preserve"> prijavitelja </w:t>
      </w:r>
      <w:r>
        <w:rPr>
          <w:rFonts w:ascii="Arial Narrow" w:hAnsi="Arial Narrow"/>
          <w:b/>
          <w:szCs w:val="22"/>
        </w:rPr>
        <w:t>___________</w:t>
      </w:r>
      <w:r w:rsidRPr="00FD6565">
        <w:rPr>
          <w:rFonts w:ascii="Arial Narrow" w:hAnsi="Arial Narrow"/>
          <w:i/>
          <w:sz w:val="20"/>
          <w:szCs w:val="20"/>
        </w:rPr>
        <w:t xml:space="preserve"> (vpišite naziv prijavitelja)</w:t>
      </w:r>
      <w:r w:rsidRPr="00EF3A5D">
        <w:rPr>
          <w:rFonts w:ascii="Arial Narrow" w:hAnsi="Arial Narrow"/>
          <w:b/>
          <w:i/>
          <w:color w:val="FF0000"/>
          <w:szCs w:val="22"/>
        </w:rPr>
        <w:t xml:space="preserve"> </w:t>
      </w:r>
      <w:r w:rsidRPr="00EF3A5D">
        <w:rPr>
          <w:rFonts w:ascii="Arial Narrow" w:hAnsi="Arial Narrow"/>
          <w:b/>
          <w:szCs w:val="22"/>
        </w:rPr>
        <w:t>pod materialno in kazensko odgovornostjo izjavljam, da:</w:t>
      </w:r>
    </w:p>
    <w:p w:rsidR="00663ADD" w:rsidRDefault="00663ADD" w:rsidP="00663ADD">
      <w:pPr>
        <w:pStyle w:val="TEKST"/>
        <w:spacing w:line="240" w:lineRule="auto"/>
        <w:rPr>
          <w:rFonts w:ascii="Arial Narrow" w:hAnsi="Arial Narrow"/>
          <w:b/>
          <w:sz w:val="20"/>
          <w:szCs w:val="20"/>
        </w:rPr>
      </w:pPr>
    </w:p>
    <w:p w:rsidR="00663ADD" w:rsidRPr="00EF3A5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se strinjamo in sprejemamo vse pogoje, ki so navedeni v javnem razpisu in razpisni dokumentaciji,</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se strinjamo in sprejemamo vsebino vzorca pogodbe, ki je sestavni del razpisne dokumentacije,</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smo seznanjeni z vsebino vseh pravnih podlag, ki so navedene kot podlage javnega razpisa in bomo redno spremljali tudi njihove morebitne spremembe,</w:t>
      </w:r>
    </w:p>
    <w:p w:rsidR="00663ADD" w:rsidRPr="00EF3A5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w:t>
      </w:r>
      <w:r w:rsidRPr="00EF3A5D">
        <w:rPr>
          <w:rFonts w:ascii="Arial Narrow" w:hAnsi="Arial Narrow"/>
          <w:sz w:val="20"/>
          <w:szCs w:val="20"/>
        </w:rPr>
        <w:t xml:space="preserve">se strinjamo </w:t>
      </w:r>
      <w:r>
        <w:rPr>
          <w:rFonts w:ascii="Arial Narrow" w:hAnsi="Arial Narrow"/>
          <w:sz w:val="20"/>
          <w:szCs w:val="20"/>
        </w:rPr>
        <w:t>z objavo na</w:t>
      </w:r>
      <w:r w:rsidRPr="004C6B83">
        <w:rPr>
          <w:rFonts w:ascii="Arial Narrow" w:hAnsi="Arial Narrow"/>
          <w:sz w:val="20"/>
          <w:szCs w:val="20"/>
        </w:rPr>
        <w:t xml:space="preserve"> seznam</w:t>
      </w:r>
      <w:r>
        <w:rPr>
          <w:rFonts w:ascii="Arial Narrow" w:hAnsi="Arial Narrow"/>
          <w:sz w:val="20"/>
          <w:szCs w:val="20"/>
        </w:rPr>
        <w:t>u</w:t>
      </w:r>
      <w:r w:rsidRPr="004C6B83">
        <w:rPr>
          <w:rFonts w:ascii="Arial Narrow" w:hAnsi="Arial Narrow"/>
          <w:sz w:val="20"/>
          <w:szCs w:val="20"/>
        </w:rPr>
        <w:t xml:space="preserve"> upravičencev, ki bo obsegal</w:t>
      </w:r>
      <w:r>
        <w:rPr>
          <w:rFonts w:ascii="Arial Narrow" w:hAnsi="Arial Narrow"/>
          <w:sz w:val="20"/>
          <w:szCs w:val="20"/>
        </w:rPr>
        <w:t>a</w:t>
      </w:r>
      <w:r w:rsidRPr="004C6B83">
        <w:rPr>
          <w:rFonts w:ascii="Arial Narrow" w:hAnsi="Arial Narrow"/>
          <w:sz w:val="20"/>
          <w:szCs w:val="20"/>
        </w:rPr>
        <w:t xml:space="preserve"> navedbo upravičenca, naziv operacije, regijo upravičenca in znesek javnih virov financiranja operacije</w:t>
      </w:r>
      <w:r>
        <w:rPr>
          <w:rFonts w:ascii="Arial Narrow" w:hAnsi="Arial Narrow"/>
          <w:sz w:val="20"/>
          <w:szCs w:val="20"/>
        </w:rPr>
        <w:t>,</w:t>
      </w:r>
    </w:p>
    <w:p w:rsidR="00663ADD" w:rsidRPr="00EF3A5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vse kopije, ki so priložene vlogi, ustrezajo originalom,</w:t>
      </w:r>
    </w:p>
    <w:p w:rsidR="00663ADD" w:rsidRPr="00EF3A5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je vloga pripravljena v slovenskem jeziku,</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so vse navedbe, ki so podane v</w:t>
      </w:r>
      <w:r>
        <w:rPr>
          <w:rFonts w:ascii="Arial Narrow" w:hAnsi="Arial Narrow"/>
          <w:sz w:val="20"/>
          <w:szCs w:val="20"/>
        </w:rPr>
        <w:t xml:space="preserve"> tej</w:t>
      </w:r>
      <w:r w:rsidRPr="00BD493F">
        <w:rPr>
          <w:rFonts w:ascii="Arial Narrow" w:hAnsi="Arial Narrow"/>
          <w:sz w:val="20"/>
          <w:szCs w:val="20"/>
        </w:rPr>
        <w:t xml:space="preserve"> vlogi, resnične in ustrezajo dejanskemu stanju,</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nimamo</w:t>
      </w:r>
      <w:r w:rsidRPr="002815BF">
        <w:rPr>
          <w:rFonts w:ascii="Arial Narrow" w:hAnsi="Arial Narrow"/>
          <w:sz w:val="20"/>
          <w:szCs w:val="20"/>
        </w:rPr>
        <w:t xml:space="preserve">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w:t>
      </w:r>
      <w:proofErr w:type="spellStart"/>
      <w:r w:rsidRPr="002815BF">
        <w:rPr>
          <w:rFonts w:ascii="Arial Narrow" w:hAnsi="Arial Narrow"/>
          <w:sz w:val="20"/>
          <w:szCs w:val="20"/>
        </w:rPr>
        <w:t>eurov</w:t>
      </w:r>
      <w:proofErr w:type="spellEnd"/>
      <w:r w:rsidRPr="002815BF">
        <w:rPr>
          <w:rFonts w:ascii="Arial Narrow" w:hAnsi="Arial Narrow"/>
          <w:sz w:val="20"/>
          <w:szCs w:val="20"/>
        </w:rPr>
        <w:t xml:space="preserve"> ali več na dan oddaje vloge pa vse do sklenitve pogodbe) iz naslova pogodb o sofinanciranju iz javnih sredstev, pri čemer ni pogoj, da bi bile le-te že ugotovljene s pravnomočnim izvršilnim naslovom,</w:t>
      </w:r>
      <w:r>
        <w:rPr>
          <w:rFonts w:ascii="Arial Narrow" w:hAnsi="Arial Narrow"/>
          <w:sz w:val="20"/>
          <w:szCs w:val="20"/>
        </w:rPr>
        <w:t xml:space="preserve"> </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nimamo</w:t>
      </w:r>
      <w:r w:rsidRPr="00FB6CA9">
        <w:rPr>
          <w:rFonts w:ascii="Arial Narrow" w:hAnsi="Arial Narrow"/>
          <w:sz w:val="20"/>
          <w:szCs w:val="20"/>
        </w:rPr>
        <w:t xml:space="preserve"> </w:t>
      </w:r>
      <w:r w:rsidRPr="002815BF">
        <w:rPr>
          <w:rFonts w:ascii="Arial Narrow" w:hAnsi="Arial Narrow"/>
          <w:sz w:val="20"/>
          <w:szCs w:val="20"/>
        </w:rPr>
        <w:t xml:space="preserve">neporavnanih zapadlih finančnih obveznosti iz naslova obveznih dajatev in drugih denarnih nedavčnih obveznosti v skladu z zakonom, ki ureja finančno upravo, ki jih pobira davčni organ (v višini 50 </w:t>
      </w:r>
      <w:proofErr w:type="spellStart"/>
      <w:r w:rsidRPr="002815BF">
        <w:rPr>
          <w:rFonts w:ascii="Arial Narrow" w:hAnsi="Arial Narrow"/>
          <w:sz w:val="20"/>
          <w:szCs w:val="20"/>
        </w:rPr>
        <w:t>eurov</w:t>
      </w:r>
      <w:proofErr w:type="spellEnd"/>
      <w:r w:rsidRPr="002815BF">
        <w:rPr>
          <w:rFonts w:ascii="Arial Narrow" w:hAnsi="Arial Narrow"/>
          <w:sz w:val="20"/>
          <w:szCs w:val="20"/>
        </w:rPr>
        <w:t xml:space="preserve"> ali več na dan oddaje vloge pa vse do sklenitve pogodbe); šteje se, da prijavitelj, ki je gospodarski subjekt, ne izpolnjuje obveznosti tudi, če nima predloženih vseh obračunov davčnih odtegljajev za dohodke iz delovnega razmerja za obdobje zadnjih petih let do dne oddaje vloge oziroma do sklenitve pogodbe</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096B0B">
        <w:rPr>
          <w:rFonts w:ascii="Arial Narrow" w:hAnsi="Arial Narrow"/>
          <w:sz w:val="20"/>
          <w:szCs w:val="20"/>
        </w:rPr>
        <w:t>dovoljujem izvajalskemu organu, da za potrebe preverjanja izpolnjevanja splošnih pogojev po tem javnem razpisu, iz uradnih evidenc pridobi potrebne podatke, kar vključuje tudi podatke iz davčnega registra, ki se smatrajo za davčno tajnost.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med nami</w:t>
      </w:r>
      <w:r w:rsidRPr="00FB6CA9">
        <w:rPr>
          <w:rFonts w:ascii="Arial Narrow" w:hAnsi="Arial Narrow"/>
          <w:sz w:val="20"/>
          <w:szCs w:val="20"/>
        </w:rPr>
        <w:t xml:space="preserve"> in </w:t>
      </w:r>
      <w:r>
        <w:rPr>
          <w:rFonts w:ascii="Arial Narrow" w:hAnsi="Arial Narrow"/>
          <w:sz w:val="20"/>
          <w:szCs w:val="20"/>
        </w:rPr>
        <w:t>M</w:t>
      </w:r>
      <w:r w:rsidRPr="00FB6CA9">
        <w:rPr>
          <w:rFonts w:ascii="Arial Narrow" w:hAnsi="Arial Narrow"/>
          <w:sz w:val="20"/>
          <w:szCs w:val="20"/>
        </w:rPr>
        <w:t>inistrstvom</w:t>
      </w:r>
      <w:r>
        <w:rPr>
          <w:rFonts w:ascii="Arial Narrow" w:hAnsi="Arial Narrow"/>
          <w:sz w:val="20"/>
          <w:szCs w:val="20"/>
        </w:rPr>
        <w:t xml:space="preserve"> za gospodarski razvoj in tehnologijo RS</w:t>
      </w:r>
      <w:r w:rsidRPr="00FB6CA9">
        <w:rPr>
          <w:rFonts w:ascii="Arial Narrow" w:hAnsi="Arial Narrow"/>
          <w:sz w:val="20"/>
          <w:szCs w:val="20"/>
        </w:rPr>
        <w:t xml:space="preserve">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w:t>
      </w:r>
      <w:r>
        <w:rPr>
          <w:rFonts w:ascii="Arial Narrow" w:hAnsi="Arial Narrow"/>
          <w:sz w:val="20"/>
          <w:szCs w:val="20"/>
        </w:rPr>
        <w: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nismo</w:t>
      </w:r>
      <w:r w:rsidRPr="00FB6CA9">
        <w:rPr>
          <w:rFonts w:ascii="Arial Narrow" w:hAnsi="Arial Narrow"/>
          <w:sz w:val="20"/>
          <w:szCs w:val="20"/>
        </w:rPr>
        <w:t xml:space="preserve">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FB6CA9">
        <w:rPr>
          <w:rFonts w:ascii="Arial Narrow" w:hAnsi="Arial Narrow"/>
          <w:sz w:val="20"/>
          <w:szCs w:val="20"/>
        </w:rPr>
        <w:t>popr</w:t>
      </w:r>
      <w:proofErr w:type="spellEnd"/>
      <w:r w:rsidRPr="00FB6CA9">
        <w:rPr>
          <w:rFonts w:ascii="Arial Narrow" w:hAnsi="Arial Narrow"/>
          <w:sz w:val="20"/>
          <w:szCs w:val="20"/>
        </w:rPr>
        <w:t>., 27/16, 31/16-</w:t>
      </w:r>
      <w:proofErr w:type="spellStart"/>
      <w:r w:rsidRPr="00FB6CA9">
        <w:rPr>
          <w:rFonts w:ascii="Arial Narrow" w:hAnsi="Arial Narrow"/>
          <w:sz w:val="20"/>
          <w:szCs w:val="20"/>
        </w:rPr>
        <w:t>odl</w:t>
      </w:r>
      <w:proofErr w:type="spellEnd"/>
      <w:r w:rsidRPr="00FB6CA9">
        <w:rPr>
          <w:rFonts w:ascii="Arial Narrow" w:hAnsi="Arial Narrow"/>
          <w:sz w:val="20"/>
          <w:szCs w:val="20"/>
        </w:rPr>
        <w:t>. US in 63/16 – ZD-C)</w:t>
      </w:r>
      <w:r>
        <w:rPr>
          <w:rFonts w:ascii="Arial Narrow" w:hAnsi="Arial Narrow"/>
          <w:sz w:val="20"/>
          <w:szCs w:val="20"/>
        </w:rPr>
        <w: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FB6CA9">
        <w:rPr>
          <w:rFonts w:ascii="Arial Narrow" w:hAnsi="Arial Narrow"/>
          <w:sz w:val="20"/>
          <w:szCs w:val="20"/>
        </w:rPr>
        <w:t>ne prejema</w:t>
      </w:r>
      <w:r>
        <w:rPr>
          <w:rFonts w:ascii="Arial Narrow" w:hAnsi="Arial Narrow"/>
          <w:sz w:val="20"/>
          <w:szCs w:val="20"/>
        </w:rPr>
        <w:t>mo</w:t>
      </w:r>
      <w:r w:rsidRPr="00FB6CA9">
        <w:rPr>
          <w:rFonts w:ascii="Arial Narrow" w:hAnsi="Arial Narrow"/>
          <w:sz w:val="20"/>
          <w:szCs w:val="20"/>
        </w:rPr>
        <w:t xml:space="preserve"> ali ni v postopku pridobivanja državnih pomoči za reševanje in prestrukturiranje podjetij v težavah po Zakon o pomoči za reševanje in prestrukturiranje gospodarskih družb in zadrug v težavah (Uradni list RS, št. 5/17) in ni podjetje v težavah skladno z 18. točko 2. člena Uredbe Komisije 651/2014/EU</w:t>
      </w:r>
      <w:r>
        <w:rPr>
          <w:rFonts w:ascii="Arial Narrow" w:hAnsi="Arial Narrow"/>
          <w:sz w:val="20"/>
          <w:szCs w:val="20"/>
        </w:rPr>
        <w: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nimamo</w:t>
      </w:r>
      <w:r w:rsidRPr="00FB6CA9">
        <w:rPr>
          <w:rFonts w:ascii="Arial Narrow" w:hAnsi="Arial Narrow"/>
          <w:sz w:val="20"/>
          <w:szCs w:val="20"/>
        </w:rPr>
        <w:t xml:space="preserve"> podan</w:t>
      </w:r>
      <w:r>
        <w:rPr>
          <w:rFonts w:ascii="Arial Narrow" w:hAnsi="Arial Narrow"/>
          <w:sz w:val="20"/>
          <w:szCs w:val="20"/>
        </w:rPr>
        <w:t>e</w:t>
      </w:r>
      <w:r w:rsidRPr="00FB6CA9">
        <w:rPr>
          <w:rFonts w:ascii="Arial Narrow" w:hAnsi="Arial Narrow"/>
          <w:sz w:val="20"/>
          <w:szCs w:val="20"/>
        </w:rPr>
        <w:t xml:space="preserve"> prepoved poslovanja v razmerju do ministrstva v obsegu, kot izhaja iz 35. člena Zakona o integriteti in preprečevanju korupcije (Ur. list RS, št. 69/11 – uradno prečiščeno besedilo)</w:t>
      </w:r>
      <w:r>
        <w:rPr>
          <w:rFonts w:ascii="Arial Narrow" w:hAnsi="Arial Narrow"/>
          <w:sz w:val="20"/>
          <w:szCs w:val="20"/>
        </w:rPr>
        <w: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FB6CA9">
        <w:rPr>
          <w:rFonts w:ascii="Arial Narrow" w:hAnsi="Arial Narrow"/>
          <w:sz w:val="20"/>
          <w:szCs w:val="20"/>
        </w:rPr>
        <w:t>ne opravljamo dejavnosti v naslednjih sektorjih:</w:t>
      </w:r>
    </w:p>
    <w:p w:rsidR="00663ADD" w:rsidRPr="00FB6CA9" w:rsidRDefault="00663ADD" w:rsidP="00663ADD">
      <w:pPr>
        <w:pStyle w:val="TEKST"/>
        <w:numPr>
          <w:ilvl w:val="1"/>
          <w:numId w:val="1"/>
        </w:numPr>
        <w:spacing w:line="240" w:lineRule="auto"/>
        <w:ind w:left="1276" w:hanging="283"/>
        <w:rPr>
          <w:rFonts w:ascii="Arial Narrow" w:hAnsi="Arial Narrow"/>
          <w:sz w:val="20"/>
          <w:szCs w:val="20"/>
        </w:rPr>
      </w:pPr>
      <w:r w:rsidRPr="00FB6CA9">
        <w:rPr>
          <w:rFonts w:ascii="Arial Narrow" w:hAnsi="Arial Narrow"/>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rsidR="00663ADD" w:rsidRPr="00FB6CA9" w:rsidRDefault="00663ADD" w:rsidP="00663ADD">
      <w:pPr>
        <w:pStyle w:val="TEKST"/>
        <w:numPr>
          <w:ilvl w:val="1"/>
          <w:numId w:val="1"/>
        </w:numPr>
        <w:spacing w:line="240" w:lineRule="auto"/>
        <w:ind w:left="1276" w:hanging="283"/>
        <w:rPr>
          <w:rFonts w:ascii="Arial Narrow" w:hAnsi="Arial Narrow"/>
          <w:sz w:val="20"/>
          <w:szCs w:val="20"/>
        </w:rPr>
      </w:pPr>
      <w:r w:rsidRPr="00FB6CA9">
        <w:rPr>
          <w:rFonts w:ascii="Arial Narrow" w:hAnsi="Arial Narrow"/>
          <w:sz w:val="20"/>
          <w:szCs w:val="20"/>
        </w:rPr>
        <w:t>primarne proizvodnje kmetijskih proizvodov;</w:t>
      </w:r>
    </w:p>
    <w:p w:rsidR="00663ADD" w:rsidRPr="00FB6CA9" w:rsidRDefault="00663ADD" w:rsidP="00663ADD">
      <w:pPr>
        <w:pStyle w:val="TEKST"/>
        <w:numPr>
          <w:ilvl w:val="1"/>
          <w:numId w:val="1"/>
        </w:numPr>
        <w:spacing w:line="240" w:lineRule="auto"/>
        <w:ind w:left="1276" w:hanging="283"/>
        <w:rPr>
          <w:rFonts w:ascii="Arial Narrow" w:hAnsi="Arial Narrow"/>
          <w:sz w:val="20"/>
          <w:szCs w:val="20"/>
        </w:rPr>
      </w:pPr>
      <w:r w:rsidRPr="00FB6CA9">
        <w:rPr>
          <w:rFonts w:ascii="Arial Narrow" w:hAnsi="Arial Narrow"/>
          <w:sz w:val="20"/>
          <w:szCs w:val="20"/>
        </w:rPr>
        <w:t>predelave in trženja kmetijskih proizvodov, v primerih:</w:t>
      </w:r>
    </w:p>
    <w:p w:rsidR="00663ADD" w:rsidRPr="00FB6CA9" w:rsidRDefault="00663ADD" w:rsidP="00663ADD">
      <w:pPr>
        <w:pStyle w:val="TEKST"/>
        <w:numPr>
          <w:ilvl w:val="2"/>
          <w:numId w:val="1"/>
        </w:numPr>
        <w:spacing w:line="240" w:lineRule="auto"/>
        <w:rPr>
          <w:rFonts w:ascii="Arial Narrow" w:hAnsi="Arial Narrow"/>
          <w:sz w:val="20"/>
          <w:szCs w:val="20"/>
        </w:rPr>
      </w:pPr>
      <w:r w:rsidRPr="00FB6CA9">
        <w:rPr>
          <w:rFonts w:ascii="Arial Narrow" w:hAnsi="Arial Narrow"/>
          <w:sz w:val="20"/>
          <w:szCs w:val="20"/>
        </w:rPr>
        <w:t>kadar je znesek pomoči, določen na podlagi cene oziroma količine takih proizvodov, ki so kupljeni od primarnih proizvajalcev, ali jih je na trg dalo zadevno podjetje;</w:t>
      </w:r>
    </w:p>
    <w:p w:rsidR="00663ADD" w:rsidRDefault="00663ADD" w:rsidP="00663ADD">
      <w:pPr>
        <w:pStyle w:val="TEKST"/>
        <w:numPr>
          <w:ilvl w:val="2"/>
          <w:numId w:val="1"/>
        </w:numPr>
        <w:spacing w:line="240" w:lineRule="auto"/>
        <w:rPr>
          <w:rFonts w:ascii="Arial Narrow" w:hAnsi="Arial Narrow"/>
          <w:sz w:val="20"/>
          <w:szCs w:val="20"/>
        </w:rPr>
      </w:pPr>
      <w:r w:rsidRPr="00FB6CA9">
        <w:rPr>
          <w:rFonts w:ascii="Arial Narrow" w:hAnsi="Arial Narrow"/>
          <w:sz w:val="20"/>
          <w:szCs w:val="20"/>
        </w:rPr>
        <w:lastRenderedPageBreak/>
        <w:t>kadar je pomoč pogojena s tem, da se delno ali v celoti prenese na primarne proizvajalce,</w:t>
      </w:r>
    </w:p>
    <w:p w:rsidR="00663ADD" w:rsidRPr="00676C3C" w:rsidRDefault="00663ADD" w:rsidP="00663ADD">
      <w:pPr>
        <w:pStyle w:val="TEKST"/>
        <w:numPr>
          <w:ilvl w:val="1"/>
          <w:numId w:val="1"/>
        </w:numPr>
        <w:spacing w:line="240" w:lineRule="auto"/>
        <w:ind w:left="1276" w:hanging="283"/>
        <w:rPr>
          <w:rFonts w:ascii="Arial Narrow" w:hAnsi="Arial Narrow"/>
          <w:sz w:val="20"/>
          <w:szCs w:val="20"/>
        </w:rPr>
      </w:pPr>
      <w:r w:rsidRPr="00676C3C">
        <w:rPr>
          <w:rFonts w:ascii="Arial Narrow" w:hAnsi="Arial Narrow"/>
          <w:sz w:val="20"/>
          <w:szCs w:val="20"/>
        </w:rPr>
        <w:t xml:space="preserve">sektor premogovništva za lažje zaprtje nekonkurenčnih premogovnikov, kakor jo zajema Sklep Sveta št. 2010/787/EU z dne 10. decembra 2010 (UL. L. 336, 21. 12. 2010, str. 24), razen v primeru pomoči de </w:t>
      </w:r>
      <w:proofErr w:type="spellStart"/>
      <w:r w:rsidRPr="00676C3C">
        <w:rPr>
          <w:rFonts w:ascii="Arial Narrow" w:hAnsi="Arial Narrow"/>
          <w:sz w:val="20"/>
          <w:szCs w:val="20"/>
        </w:rPr>
        <w:t>minimis</w:t>
      </w:r>
      <w:proofErr w:type="spellEnd"/>
      <w:r w:rsidRPr="00676C3C">
        <w:rPr>
          <w:rFonts w:ascii="Arial Narrow" w:hAnsi="Arial Narrow"/>
          <w:sz w:val="20"/>
          <w:szCs w:val="20"/>
        </w:rPr>
        <w:t xml:space="preserve">. </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FB6CA9">
        <w:rPr>
          <w:rFonts w:ascii="Arial Narrow" w:hAnsi="Arial Narrow"/>
          <w:sz w:val="20"/>
          <w:szCs w:val="20"/>
        </w:rPr>
        <w:t>dejanski lastnik (i) družbe v skladu z 19. členom Zakon o preprečevanju pranja denarja in financiranja terorizma (Uradni list RS, št. 68/16) ni(so) vpleten(i) v postopke pranja denarja in financiranja terorizma</w:t>
      </w:r>
      <w:r>
        <w:rPr>
          <w:rFonts w:ascii="Arial Narrow" w:hAnsi="Arial Narrow"/>
          <w:sz w:val="20"/>
          <w:szCs w:val="20"/>
        </w:rPr>
        <w: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FB6CA9">
        <w:rPr>
          <w:rFonts w:ascii="Arial Narrow" w:hAnsi="Arial Narrow"/>
          <w:sz w:val="20"/>
          <w:szCs w:val="20"/>
        </w:rPr>
        <w:t>nismo v postopku vračanja neupravičeno prejete državne pomoči, na osnovi odločbe Evropske komisije, ki je prejeto državno pomoč razglasila za nezakonito in nezdružljivo s skupnim trgom Skupnosti.</w:t>
      </w:r>
      <w:r>
        <w:rPr>
          <w:rFonts w:ascii="Arial Narrow" w:hAnsi="Arial Narrow"/>
          <w:sz w:val="20"/>
          <w:szCs w:val="20"/>
        </w:rPr>
        <w:t>,</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FB6CA9">
        <w:rPr>
          <w:rFonts w:ascii="Arial Narrow" w:hAnsi="Arial Narrow"/>
          <w:sz w:val="20"/>
          <w:szCs w:val="20"/>
        </w:rPr>
        <w:t>za iste že povrnjene  upravičene stroške in aktivnosti, ki so predmet sofinanciranja v tem razpisu, ni</w:t>
      </w:r>
      <w:r>
        <w:rPr>
          <w:rFonts w:ascii="Arial Narrow" w:hAnsi="Arial Narrow"/>
          <w:sz w:val="20"/>
          <w:szCs w:val="20"/>
        </w:rPr>
        <w:t>smo</w:t>
      </w:r>
      <w:r w:rsidRPr="00FB6CA9">
        <w:rPr>
          <w:rFonts w:ascii="Arial Narrow" w:hAnsi="Arial Narrow"/>
          <w:sz w:val="20"/>
          <w:szCs w:val="20"/>
        </w:rPr>
        <w:t xml:space="preserve"> in ne bo</w:t>
      </w:r>
      <w:r>
        <w:rPr>
          <w:rFonts w:ascii="Arial Narrow" w:hAnsi="Arial Narrow"/>
          <w:sz w:val="20"/>
          <w:szCs w:val="20"/>
        </w:rPr>
        <w:t>mo</w:t>
      </w:r>
      <w:r w:rsidRPr="00FB6CA9">
        <w:rPr>
          <w:rFonts w:ascii="Arial Narrow" w:hAnsi="Arial Narrow"/>
          <w:sz w:val="20"/>
          <w:szCs w:val="20"/>
        </w:rPr>
        <w:t xml:space="preserve"> pridobil</w:t>
      </w:r>
      <w:r>
        <w:rPr>
          <w:rFonts w:ascii="Arial Narrow" w:hAnsi="Arial Narrow"/>
          <w:sz w:val="20"/>
          <w:szCs w:val="20"/>
        </w:rPr>
        <w:t>i</w:t>
      </w:r>
      <w:r w:rsidRPr="00FB6CA9">
        <w:rPr>
          <w:rFonts w:ascii="Arial Narrow" w:hAnsi="Arial Narrow"/>
          <w:sz w:val="20"/>
          <w:szCs w:val="20"/>
        </w:rPr>
        <w:t xml:space="preserve"> sredstev iz drugih javnih virov (sredstev evropskega, državnega ali lokalnega proračuna) (prepoved dvojnega sofinanciranja). </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w:t>
      </w:r>
      <w:r w:rsidRPr="00FB6CA9">
        <w:rPr>
          <w:rFonts w:ascii="Arial Narrow" w:hAnsi="Arial Narrow"/>
          <w:sz w:val="20"/>
          <w:szCs w:val="20"/>
        </w:rPr>
        <w:t>kladno s Prilog</w:t>
      </w:r>
      <w:r>
        <w:rPr>
          <w:rFonts w:ascii="Arial Narrow" w:hAnsi="Arial Narrow"/>
          <w:sz w:val="20"/>
          <w:szCs w:val="20"/>
        </w:rPr>
        <w:t>o</w:t>
      </w:r>
      <w:r w:rsidRPr="00FB6CA9">
        <w:rPr>
          <w:rFonts w:ascii="Arial Narrow" w:hAnsi="Arial Narrow"/>
          <w:sz w:val="20"/>
          <w:szCs w:val="20"/>
        </w:rPr>
        <w:t xml:space="preserve"> I Uredbe 651/2014/EU nismo veliko podjetje</w:t>
      </w:r>
      <w:r>
        <w:rPr>
          <w:rFonts w:ascii="Arial Narrow" w:hAnsi="Arial Narrow"/>
          <w:sz w:val="20"/>
          <w:szCs w:val="20"/>
        </w:rPr>
        <w:t>,</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v celoti zagotavlja</w:t>
      </w:r>
      <w:r>
        <w:rPr>
          <w:rFonts w:ascii="Arial Narrow" w:hAnsi="Arial Narrow"/>
          <w:sz w:val="20"/>
          <w:szCs w:val="20"/>
        </w:rPr>
        <w:t>mo</w:t>
      </w:r>
      <w:r w:rsidRPr="00BD493F">
        <w:rPr>
          <w:rFonts w:ascii="Arial Narrow" w:hAnsi="Arial Narrow"/>
          <w:sz w:val="20"/>
          <w:szCs w:val="20"/>
        </w:rPr>
        <w:t xml:space="preserve"> sredstva za zaprtje finančne k</w:t>
      </w:r>
      <w:r>
        <w:rPr>
          <w:rFonts w:ascii="Arial Narrow" w:hAnsi="Arial Narrow"/>
          <w:sz w:val="20"/>
          <w:szCs w:val="20"/>
        </w:rPr>
        <w:t>onstrukcije prijavljene operacije</w:t>
      </w:r>
      <w:r w:rsidRPr="00BD493F">
        <w:rPr>
          <w:rFonts w:ascii="Arial Narrow" w:hAnsi="Arial Narrow"/>
          <w:sz w:val="20"/>
          <w:szCs w:val="20"/>
        </w:rPr>
        <w:t>,</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smo imeli </w:t>
      </w:r>
      <w:r w:rsidRPr="0016249F">
        <w:rPr>
          <w:rFonts w:ascii="Arial Narrow" w:hAnsi="Arial Narrow"/>
          <w:sz w:val="20"/>
          <w:szCs w:val="20"/>
        </w:rPr>
        <w:t xml:space="preserve">na lokaciji izvajanja aktivnosti operacije na zadnji dan preteklega meseca glede na mesec oddaje vloge (v primeru podružnice podjetja iz druge države članice EU pa ob sklenitvi pogodbe o sofinanciranju) na predmetni javni razpis zaposleni  vsaj </w:t>
      </w:r>
      <w:r>
        <w:rPr>
          <w:rFonts w:ascii="Arial Narrow" w:hAnsi="Arial Narrow"/>
          <w:sz w:val="20"/>
          <w:szCs w:val="20"/>
        </w:rPr>
        <w:t>2</w:t>
      </w:r>
      <w:r w:rsidRPr="0016249F">
        <w:rPr>
          <w:rFonts w:ascii="Arial Narrow" w:hAnsi="Arial Narrow"/>
          <w:sz w:val="20"/>
          <w:szCs w:val="20"/>
        </w:rPr>
        <w:t xml:space="preserve"> oseb</w:t>
      </w:r>
      <w:r>
        <w:rPr>
          <w:rFonts w:ascii="Arial Narrow" w:hAnsi="Arial Narrow"/>
          <w:sz w:val="20"/>
          <w:szCs w:val="20"/>
        </w:rPr>
        <w:t>i</w:t>
      </w:r>
      <w:r w:rsidRPr="0016249F">
        <w:rPr>
          <w:rFonts w:ascii="Arial Narrow" w:hAnsi="Arial Narrow"/>
          <w:sz w:val="20"/>
          <w:szCs w:val="20"/>
        </w:rPr>
        <w:t xml:space="preserve"> za polni delovni </w:t>
      </w:r>
      <w:r>
        <w:rPr>
          <w:rFonts w:ascii="Arial Narrow" w:hAnsi="Arial Narrow"/>
          <w:sz w:val="20"/>
          <w:szCs w:val="20"/>
        </w:rPr>
        <w:t xml:space="preserve">čas </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vlogo na javni razpis oddajamo pred začetkom izvajanja operacije,</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ne bomo kršili pravila </w:t>
      </w:r>
      <w:proofErr w:type="spellStart"/>
      <w:r>
        <w:rPr>
          <w:rFonts w:ascii="Arial Narrow" w:hAnsi="Arial Narrow"/>
          <w:sz w:val="20"/>
          <w:szCs w:val="20"/>
        </w:rPr>
        <w:t>kumulacije</w:t>
      </w:r>
      <w:proofErr w:type="spellEnd"/>
      <w:r>
        <w:rPr>
          <w:rFonts w:ascii="Arial Narrow" w:hAnsi="Arial Narrow"/>
          <w:sz w:val="20"/>
          <w:szCs w:val="20"/>
        </w:rPr>
        <w:t xml:space="preserve"> pomoči,</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ne bomo kršili pravila, da se pomoč ne sme združevati s pomočjo dodeljeno po pravilu »de </w:t>
      </w:r>
      <w:proofErr w:type="spellStart"/>
      <w:r>
        <w:rPr>
          <w:rFonts w:ascii="Arial Narrow" w:hAnsi="Arial Narrow"/>
          <w:sz w:val="20"/>
          <w:szCs w:val="20"/>
        </w:rPr>
        <w:t>minimis</w:t>
      </w:r>
      <w:proofErr w:type="spellEnd"/>
      <w:r>
        <w:rPr>
          <w:rFonts w:ascii="Arial Narrow" w:hAnsi="Arial Narrow"/>
          <w:sz w:val="20"/>
          <w:szCs w:val="20"/>
        </w:rPr>
        <w:t>« glede na enake upravičene stroške, če bi bile s tem presežene dovoljene meje intenzivnosti državnih pomoči oziroma znesek državnih pomoči,</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 primeru uspešne kandidature na javni razpis ne bomo v času trajanja pogodbe o sofinanciranju nastopali v vlogi zunanjega izvajalca drugim prijaviteljem na javni razpis,</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kapitalsko ali kakorkoli drugače lastniško ali upravljavsko povezani z izbranim zunanjim izvajalcem</w:t>
      </w:r>
      <w:r>
        <w:rPr>
          <w:rFonts w:ascii="Arial Narrow" w:hAnsi="Arial Narrow"/>
          <w:sz w:val="20"/>
          <w:szCs w:val="20"/>
        </w:rPr>
        <w:t xml:space="preserve"> ali svetovalcem</w:t>
      </w:r>
      <w:r w:rsidRPr="00D16684">
        <w:rPr>
          <w:rFonts w:ascii="Arial Narrow" w:hAnsi="Arial Narrow"/>
          <w:sz w:val="20"/>
          <w:szCs w:val="20"/>
        </w:rPr>
        <w:t>,</w:t>
      </w:r>
    </w:p>
    <w:p w:rsidR="00663ADD" w:rsidRPr="00D16684"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F05902">
        <w:rPr>
          <w:rFonts w:ascii="Arial Narrow" w:hAnsi="Arial Narrow"/>
          <w:sz w:val="20"/>
          <w:szCs w:val="20"/>
        </w:rPr>
        <w:t>smo pri izboru zunanjega izvajalca ravnati gospodarno</w:t>
      </w:r>
      <w:r>
        <w:rPr>
          <w:rFonts w:ascii="Arial Narrow" w:hAnsi="Arial Narrow"/>
          <w:sz w:val="20"/>
          <w:szCs w:val="20"/>
        </w:rPr>
        <w:t xml:space="preserve"> in storitev pridobil</w:t>
      </w:r>
      <w:r w:rsidRPr="00F05902">
        <w:rPr>
          <w:rFonts w:ascii="Arial Narrow" w:hAnsi="Arial Narrow"/>
          <w:sz w:val="20"/>
          <w:szCs w:val="20"/>
        </w:rPr>
        <w:t>i po tržni ceni</w:t>
      </w:r>
      <w:r>
        <w:rPr>
          <w:rFonts w:ascii="Arial Narrow" w:hAnsi="Arial Narrow"/>
          <w:sz w:val="20"/>
          <w:szCs w:val="20"/>
        </w:rPr>
        <w:t>, kar bomo ustrezno dokazali ob oddaji zahtevka,</w:t>
      </w:r>
    </w:p>
    <w:p w:rsidR="00663ADD" w:rsidRPr="00D16684"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 xml:space="preserve">se </w:t>
      </w:r>
      <w:r>
        <w:rPr>
          <w:rFonts w:ascii="Arial Narrow" w:hAnsi="Arial Narrow"/>
          <w:sz w:val="20"/>
          <w:szCs w:val="20"/>
        </w:rPr>
        <w:t xml:space="preserve">na ta javni razpis </w:t>
      </w:r>
      <w:r w:rsidRPr="00D16684">
        <w:rPr>
          <w:rFonts w:ascii="Arial Narrow" w:hAnsi="Arial Narrow"/>
          <w:sz w:val="20"/>
          <w:szCs w:val="20"/>
        </w:rPr>
        <w:t>prijav</w:t>
      </w:r>
      <w:r>
        <w:rPr>
          <w:rFonts w:ascii="Arial Narrow" w:hAnsi="Arial Narrow"/>
          <w:sz w:val="20"/>
          <w:szCs w:val="20"/>
        </w:rPr>
        <w:t>ljamo</w:t>
      </w:r>
      <w:r w:rsidRPr="00D16684">
        <w:rPr>
          <w:rFonts w:ascii="Arial Narrow" w:hAnsi="Arial Narrow"/>
          <w:sz w:val="20"/>
          <w:szCs w:val="20"/>
        </w:rPr>
        <w:t xml:space="preserve"> samo </w:t>
      </w:r>
      <w:r w:rsidRPr="00445D8C">
        <w:rPr>
          <w:rFonts w:ascii="Arial Narrow" w:hAnsi="Arial Narrow"/>
          <w:sz w:val="20"/>
          <w:szCs w:val="20"/>
        </w:rPr>
        <w:t>z eno vlogo</w:t>
      </w:r>
      <w:r>
        <w:rPr>
          <w:rFonts w:ascii="Arial Narrow" w:hAnsi="Arial Narrow"/>
          <w:sz w:val="20"/>
          <w:szCs w:val="20"/>
        </w:rPr>
        <w:t xml:space="preserve"> v okviru posameznega odpiranja</w:t>
      </w:r>
      <w:r w:rsidRPr="00D16684">
        <w:rPr>
          <w:rFonts w:ascii="Arial Narrow" w:hAnsi="Arial Narrow"/>
          <w:sz w:val="20"/>
          <w:szCs w:val="20"/>
        </w:rPr>
        <w:t>,</w:t>
      </w:r>
    </w:p>
    <w:p w:rsidR="00663ADD" w:rsidRPr="00D16684"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bomo v primeru informiranja in obveščanja javnosti v kakršnikoli komunikacijski obliki, o izvedbi operacije transparentno navajali, da je operacija sofinancirana s strani Evropske unije in sicer iz Evropskega sklada za regionalni razvoj</w:t>
      </w:r>
      <w:r>
        <w:rPr>
          <w:rFonts w:ascii="Arial Narrow" w:hAnsi="Arial Narrow"/>
          <w:sz w:val="20"/>
          <w:szCs w:val="20"/>
        </w:rPr>
        <w:t>,</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se zavedam</w:t>
      </w:r>
      <w:r>
        <w:rPr>
          <w:rFonts w:ascii="Arial Narrow" w:hAnsi="Arial Narrow"/>
          <w:sz w:val="20"/>
          <w:szCs w:val="20"/>
        </w:rPr>
        <w:t>o</w:t>
      </w:r>
      <w:r w:rsidRPr="00BD493F">
        <w:rPr>
          <w:rFonts w:ascii="Arial Narrow" w:hAnsi="Arial Narrow"/>
          <w:sz w:val="20"/>
          <w:szCs w:val="20"/>
        </w:rPr>
        <w:t>,</w:t>
      </w:r>
      <w:r>
        <w:rPr>
          <w:rFonts w:ascii="Arial Narrow" w:hAnsi="Arial Narrow"/>
          <w:sz w:val="20"/>
          <w:szCs w:val="20"/>
        </w:rPr>
        <w:t xml:space="preserve"> da</w:t>
      </w:r>
      <w:r w:rsidRPr="00BD493F">
        <w:rPr>
          <w:rFonts w:ascii="Arial Narrow" w:hAnsi="Arial Narrow"/>
          <w:sz w:val="20"/>
          <w:szCs w:val="20"/>
        </w:rPr>
        <w:t xml:space="preserve"> </w:t>
      </w:r>
      <w:r>
        <w:rPr>
          <w:rFonts w:ascii="Arial Narrow" w:hAnsi="Arial Narrow"/>
          <w:sz w:val="20"/>
          <w:szCs w:val="20"/>
        </w:rPr>
        <w:t>smo</w:t>
      </w:r>
      <w:r w:rsidRPr="00BD493F">
        <w:rPr>
          <w:rFonts w:ascii="Arial Narrow" w:hAnsi="Arial Narrow"/>
          <w:sz w:val="20"/>
          <w:szCs w:val="20"/>
        </w:rPr>
        <w:t xml:space="preserve"> odgovorn</w:t>
      </w:r>
      <w:r>
        <w:rPr>
          <w:rFonts w:ascii="Arial Narrow" w:hAnsi="Arial Narrow"/>
          <w:sz w:val="20"/>
          <w:szCs w:val="20"/>
        </w:rPr>
        <w:t>i</w:t>
      </w:r>
      <w:r w:rsidRPr="00BD493F">
        <w:rPr>
          <w:rFonts w:ascii="Arial Narrow" w:hAnsi="Arial Narrow"/>
          <w:sz w:val="20"/>
          <w:szCs w:val="20"/>
        </w:rPr>
        <w:t xml:space="preserve"> za doseganje </w:t>
      </w:r>
      <w:r>
        <w:rPr>
          <w:rFonts w:ascii="Arial Narrow" w:hAnsi="Arial Narrow"/>
          <w:sz w:val="20"/>
          <w:szCs w:val="20"/>
        </w:rPr>
        <w:t>ciljev in kazalnikov operacije,</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smo seznanjeni z dejstvom, da moramo izvajalskemu organu v primeru odobritve naše vloge v roku 8 dni od prejema poziva na podpis pogodbe o sofinanciranju, podpisano pogodbo vrniti (poslati po pošti ali dostaviti fizično kot je opredeljeno v 13. točki javnega razpisa) na naslov izvajalskega organa, skupaj s kopijo sklenjene pogodbe z izbranim izvajalcem, ki ne bo podpisana pred izdajo sklepa o izboru, sicer odstopamo od podpisa pogodbe o sofinanciranju,</w:t>
      </w:r>
    </w:p>
    <w:p w:rsidR="00663ADD" w:rsidRPr="00FB6CA9"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nismo </w:t>
      </w:r>
      <w:r w:rsidRPr="00FB6CA9">
        <w:rPr>
          <w:rFonts w:ascii="Arial Narrow" w:hAnsi="Arial Narrow"/>
          <w:sz w:val="20"/>
          <w:szCs w:val="20"/>
        </w:rPr>
        <w:t>prejemniki sredstev iz Javnega razpisa za spodbujanje procesnih izboljšav podjetij v letu 2016 in 2017 »Procesni vavčer 2016/2017«, kateri niso upravičeni do sredstev iz tega javnega razpisa</w:t>
      </w:r>
    </w:p>
    <w:p w:rsidR="00663ADD" w:rsidRDefault="00663ADD" w:rsidP="00663ADD">
      <w:pPr>
        <w:pStyle w:val="TEKST"/>
        <w:numPr>
          <w:ilvl w:val="0"/>
          <w:numId w:val="1"/>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bomo vodili in spremljali porabo sredstev za operacijo računovodsko ločeno na posebnem stroškovnem mestu ali po ustrezni računovodski kodi za vse transakcije v zvezi z operacijo.</w:t>
      </w:r>
    </w:p>
    <w:p w:rsidR="00663ADD" w:rsidRDefault="00663ADD" w:rsidP="00663ADD">
      <w:pPr>
        <w:rPr>
          <w:lang w:eastAsia="sl-SI"/>
        </w:rPr>
      </w:pPr>
    </w:p>
    <w:p w:rsidR="00663ADD" w:rsidRDefault="00663ADD" w:rsidP="00663ADD">
      <w:pPr>
        <w:rPr>
          <w:lang w:eastAsia="sl-SI"/>
        </w:rPr>
      </w:pPr>
    </w:p>
    <w:tbl>
      <w:tblPr>
        <w:tblStyle w:val="TableGrid"/>
        <w:tblW w:w="9322" w:type="dxa"/>
        <w:tblLook w:val="04A0" w:firstRow="1" w:lastRow="0" w:firstColumn="1" w:lastColumn="0" w:noHBand="0" w:noVBand="1"/>
      </w:tblPr>
      <w:tblGrid>
        <w:gridCol w:w="2802"/>
        <w:gridCol w:w="3118"/>
        <w:gridCol w:w="3402"/>
      </w:tblGrid>
      <w:tr w:rsidR="00663ADD" w:rsidTr="00766A2B">
        <w:tc>
          <w:tcPr>
            <w:tcW w:w="2802" w:type="dxa"/>
            <w:tcBorders>
              <w:bottom w:val="single" w:sz="4" w:space="0" w:color="000000" w:themeColor="text1"/>
              <w:right w:val="nil"/>
            </w:tcBorders>
            <w:shd w:val="clear" w:color="auto" w:fill="D9D9D9" w:themeFill="background1" w:themeFillShade="D9"/>
            <w:vAlign w:val="center"/>
          </w:tcPr>
          <w:p w:rsidR="00663ADD" w:rsidRPr="00D81A2D" w:rsidRDefault="00663ADD" w:rsidP="00766A2B">
            <w:pPr>
              <w:jc w:val="center"/>
              <w:rPr>
                <w:rFonts w:eastAsia="Times New Roman"/>
                <w:b/>
                <w:sz w:val="20"/>
                <w:szCs w:val="20"/>
                <w:lang w:eastAsia="sl-SI"/>
              </w:rPr>
            </w:pPr>
            <w:proofErr w:type="spellStart"/>
            <w:r w:rsidRPr="00D81A2D">
              <w:rPr>
                <w:rFonts w:eastAsia="Times New Roman"/>
                <w:b/>
                <w:sz w:val="20"/>
                <w:szCs w:val="20"/>
                <w:lang w:eastAsia="sl-SI"/>
              </w:rPr>
              <w:t>Kraj</w:t>
            </w:r>
            <w:proofErr w:type="spellEnd"/>
            <w:r w:rsidRPr="00D81A2D">
              <w:rPr>
                <w:rFonts w:eastAsia="Times New Roman"/>
                <w:b/>
                <w:sz w:val="20"/>
                <w:szCs w:val="20"/>
                <w:lang w:eastAsia="sl-SI"/>
              </w:rPr>
              <w:t xml:space="preserve">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663ADD" w:rsidRPr="00D81A2D" w:rsidRDefault="00663ADD" w:rsidP="00766A2B">
            <w:pPr>
              <w:jc w:val="center"/>
              <w:rPr>
                <w:rFonts w:eastAsia="Times New Roman"/>
                <w:b/>
                <w:sz w:val="20"/>
                <w:szCs w:val="20"/>
                <w:lang w:eastAsia="sl-SI"/>
              </w:rPr>
            </w:pPr>
            <w:proofErr w:type="spellStart"/>
            <w:r w:rsidRPr="00D81A2D">
              <w:rPr>
                <w:rFonts w:eastAsia="Times New Roman"/>
                <w:b/>
                <w:sz w:val="20"/>
                <w:szCs w:val="20"/>
                <w:lang w:eastAsia="sl-SI"/>
              </w:rPr>
              <w:t>Žig</w:t>
            </w:r>
            <w:proofErr w:type="spellEnd"/>
          </w:p>
        </w:tc>
        <w:tc>
          <w:tcPr>
            <w:tcW w:w="3402" w:type="dxa"/>
            <w:tcBorders>
              <w:left w:val="nil"/>
              <w:bottom w:val="single" w:sz="4" w:space="0" w:color="000000" w:themeColor="text1"/>
            </w:tcBorders>
            <w:shd w:val="clear" w:color="auto" w:fill="D9D9D9" w:themeFill="background1" w:themeFillShade="D9"/>
            <w:vAlign w:val="center"/>
          </w:tcPr>
          <w:p w:rsidR="00663ADD" w:rsidRPr="00D81A2D" w:rsidRDefault="00663ADD" w:rsidP="00766A2B">
            <w:pPr>
              <w:jc w:val="center"/>
              <w:rPr>
                <w:rFonts w:eastAsia="Times New Roman"/>
                <w:b/>
                <w:sz w:val="20"/>
                <w:szCs w:val="20"/>
                <w:lang w:eastAsia="sl-SI"/>
              </w:rPr>
            </w:pPr>
            <w:proofErr w:type="spellStart"/>
            <w:r w:rsidRPr="00D81A2D">
              <w:rPr>
                <w:rFonts w:eastAsia="Times New Roman"/>
                <w:b/>
                <w:sz w:val="20"/>
                <w:szCs w:val="20"/>
                <w:lang w:eastAsia="sl-SI"/>
              </w:rPr>
              <w:t>Ime</w:t>
            </w:r>
            <w:proofErr w:type="spellEnd"/>
            <w:r w:rsidRPr="00D81A2D">
              <w:rPr>
                <w:rFonts w:eastAsia="Times New Roman"/>
                <w:b/>
                <w:sz w:val="20"/>
                <w:szCs w:val="20"/>
                <w:lang w:eastAsia="sl-SI"/>
              </w:rPr>
              <w:t xml:space="preserve"> in </w:t>
            </w:r>
            <w:proofErr w:type="spellStart"/>
            <w:r w:rsidRPr="00D81A2D">
              <w:rPr>
                <w:rFonts w:eastAsia="Times New Roman"/>
                <w:b/>
                <w:sz w:val="20"/>
                <w:szCs w:val="20"/>
                <w:lang w:eastAsia="sl-SI"/>
              </w:rPr>
              <w:t>priimek</w:t>
            </w:r>
            <w:proofErr w:type="spellEnd"/>
            <w:r w:rsidRPr="00D81A2D">
              <w:rPr>
                <w:rFonts w:eastAsia="Times New Roman"/>
                <w:b/>
                <w:sz w:val="20"/>
                <w:szCs w:val="20"/>
                <w:lang w:eastAsia="sl-SI"/>
              </w:rPr>
              <w:t xml:space="preserve"> </w:t>
            </w:r>
            <w:proofErr w:type="spellStart"/>
            <w:r w:rsidRPr="00D81A2D">
              <w:rPr>
                <w:rFonts w:eastAsia="Times New Roman"/>
                <w:b/>
                <w:sz w:val="20"/>
                <w:szCs w:val="20"/>
                <w:lang w:eastAsia="sl-SI"/>
              </w:rPr>
              <w:t>zakonitega</w:t>
            </w:r>
            <w:proofErr w:type="spellEnd"/>
            <w:r w:rsidRPr="00D81A2D">
              <w:rPr>
                <w:rFonts w:eastAsia="Times New Roman"/>
                <w:b/>
                <w:sz w:val="20"/>
                <w:szCs w:val="20"/>
                <w:lang w:eastAsia="sl-SI"/>
              </w:rPr>
              <w:t xml:space="preserve"> </w:t>
            </w:r>
            <w:proofErr w:type="spellStart"/>
            <w:r w:rsidRPr="00D81A2D">
              <w:rPr>
                <w:rFonts w:eastAsia="Times New Roman"/>
                <w:b/>
                <w:sz w:val="20"/>
                <w:szCs w:val="20"/>
                <w:lang w:eastAsia="sl-SI"/>
              </w:rPr>
              <w:t>zastopnika</w:t>
            </w:r>
            <w:proofErr w:type="spellEnd"/>
            <w:r>
              <w:rPr>
                <w:rFonts w:eastAsia="Times New Roman"/>
                <w:b/>
                <w:sz w:val="20"/>
                <w:szCs w:val="20"/>
                <w:lang w:eastAsia="sl-SI"/>
              </w:rPr>
              <w:t xml:space="preserve"> </w:t>
            </w:r>
            <w:proofErr w:type="spellStart"/>
            <w:r>
              <w:rPr>
                <w:rFonts w:eastAsia="Times New Roman"/>
                <w:b/>
                <w:sz w:val="20"/>
                <w:szCs w:val="20"/>
                <w:lang w:eastAsia="sl-SI"/>
              </w:rPr>
              <w:t>prijavitelja</w:t>
            </w:r>
            <w:proofErr w:type="spellEnd"/>
          </w:p>
        </w:tc>
      </w:tr>
      <w:tr w:rsidR="00663ADD" w:rsidTr="00766A2B">
        <w:trPr>
          <w:trHeight w:val="444"/>
        </w:trPr>
        <w:tc>
          <w:tcPr>
            <w:tcW w:w="2802" w:type="dxa"/>
            <w:vMerge w:val="restart"/>
            <w:shd w:val="clear" w:color="auto" w:fill="FFFFCC"/>
            <w:vAlign w:val="center"/>
          </w:tcPr>
          <w:p w:rsidR="00663ADD" w:rsidRDefault="00663ADD" w:rsidP="00766A2B">
            <w:pPr>
              <w:jc w:val="center"/>
              <w:rPr>
                <w:lang w:eastAsia="sl-SI"/>
              </w:rPr>
            </w:pPr>
          </w:p>
        </w:tc>
        <w:tc>
          <w:tcPr>
            <w:tcW w:w="3118" w:type="dxa"/>
            <w:vMerge w:val="restart"/>
            <w:shd w:val="clear" w:color="auto" w:fill="FFFFCC"/>
            <w:vAlign w:val="center"/>
          </w:tcPr>
          <w:p w:rsidR="00663ADD" w:rsidRDefault="00663ADD" w:rsidP="00766A2B">
            <w:pPr>
              <w:rPr>
                <w:lang w:eastAsia="sl-SI"/>
              </w:rPr>
            </w:pPr>
          </w:p>
        </w:tc>
        <w:tc>
          <w:tcPr>
            <w:tcW w:w="3402" w:type="dxa"/>
            <w:tcBorders>
              <w:bottom w:val="single" w:sz="4" w:space="0" w:color="000000" w:themeColor="text1"/>
            </w:tcBorders>
            <w:shd w:val="clear" w:color="auto" w:fill="FFFFCC"/>
            <w:vAlign w:val="center"/>
          </w:tcPr>
          <w:p w:rsidR="00663ADD" w:rsidRDefault="00663ADD" w:rsidP="00766A2B">
            <w:pPr>
              <w:jc w:val="center"/>
              <w:rPr>
                <w:lang w:eastAsia="sl-SI"/>
              </w:rPr>
            </w:pPr>
          </w:p>
        </w:tc>
      </w:tr>
      <w:tr w:rsidR="00663ADD" w:rsidTr="00766A2B">
        <w:tc>
          <w:tcPr>
            <w:tcW w:w="2802" w:type="dxa"/>
            <w:vMerge/>
            <w:shd w:val="clear" w:color="auto" w:fill="FFFFCC"/>
          </w:tcPr>
          <w:p w:rsidR="00663ADD" w:rsidRDefault="00663ADD" w:rsidP="00766A2B">
            <w:pPr>
              <w:rPr>
                <w:lang w:eastAsia="sl-SI"/>
              </w:rPr>
            </w:pPr>
          </w:p>
        </w:tc>
        <w:tc>
          <w:tcPr>
            <w:tcW w:w="3118" w:type="dxa"/>
            <w:vMerge/>
            <w:shd w:val="clear" w:color="auto" w:fill="FFFFCC"/>
          </w:tcPr>
          <w:p w:rsidR="00663ADD" w:rsidRDefault="00663ADD" w:rsidP="00766A2B">
            <w:pPr>
              <w:rPr>
                <w:lang w:eastAsia="sl-SI"/>
              </w:rPr>
            </w:pPr>
          </w:p>
        </w:tc>
        <w:tc>
          <w:tcPr>
            <w:tcW w:w="3402" w:type="dxa"/>
            <w:tcBorders>
              <w:bottom w:val="single" w:sz="4" w:space="0" w:color="000000" w:themeColor="text1"/>
            </w:tcBorders>
            <w:shd w:val="clear" w:color="auto" w:fill="D9D9D9" w:themeFill="background1" w:themeFillShade="D9"/>
            <w:vAlign w:val="center"/>
          </w:tcPr>
          <w:p w:rsidR="00663ADD" w:rsidRPr="00D81A2D" w:rsidRDefault="00663ADD" w:rsidP="00766A2B">
            <w:pPr>
              <w:jc w:val="center"/>
              <w:rPr>
                <w:rFonts w:eastAsia="Times New Roman"/>
                <w:b/>
                <w:sz w:val="20"/>
                <w:szCs w:val="20"/>
                <w:lang w:eastAsia="sl-SI"/>
              </w:rPr>
            </w:pPr>
            <w:proofErr w:type="spellStart"/>
            <w:r w:rsidRPr="00D81A2D">
              <w:rPr>
                <w:rFonts w:eastAsia="Times New Roman"/>
                <w:b/>
                <w:sz w:val="20"/>
                <w:szCs w:val="20"/>
                <w:lang w:eastAsia="sl-SI"/>
              </w:rPr>
              <w:t>Podpis</w:t>
            </w:r>
            <w:proofErr w:type="spellEnd"/>
          </w:p>
        </w:tc>
      </w:tr>
      <w:tr w:rsidR="00663ADD" w:rsidTr="00766A2B">
        <w:trPr>
          <w:trHeight w:val="581"/>
        </w:trPr>
        <w:tc>
          <w:tcPr>
            <w:tcW w:w="2802" w:type="dxa"/>
            <w:vMerge/>
            <w:shd w:val="clear" w:color="auto" w:fill="FFFFCC"/>
          </w:tcPr>
          <w:p w:rsidR="00663ADD" w:rsidRDefault="00663ADD" w:rsidP="00766A2B">
            <w:pPr>
              <w:rPr>
                <w:lang w:eastAsia="sl-SI"/>
              </w:rPr>
            </w:pPr>
          </w:p>
        </w:tc>
        <w:tc>
          <w:tcPr>
            <w:tcW w:w="3118" w:type="dxa"/>
            <w:vMerge/>
            <w:shd w:val="clear" w:color="auto" w:fill="FFFFCC"/>
          </w:tcPr>
          <w:p w:rsidR="00663ADD" w:rsidRDefault="00663ADD" w:rsidP="00766A2B">
            <w:pPr>
              <w:rPr>
                <w:lang w:eastAsia="sl-SI"/>
              </w:rPr>
            </w:pPr>
          </w:p>
        </w:tc>
        <w:tc>
          <w:tcPr>
            <w:tcW w:w="3402" w:type="dxa"/>
            <w:shd w:val="clear" w:color="auto" w:fill="FFFFCC"/>
          </w:tcPr>
          <w:p w:rsidR="00663ADD" w:rsidRDefault="00663ADD" w:rsidP="00766A2B">
            <w:pPr>
              <w:rPr>
                <w:lang w:eastAsia="sl-SI"/>
              </w:rPr>
            </w:pPr>
          </w:p>
        </w:tc>
      </w:tr>
    </w:tbl>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bookmarkStart w:id="0" w:name="_GoBack"/>
    </w:p>
    <w:p w:rsidR="00663ADD" w:rsidRDefault="00663ADD" w:rsidP="00663ADD">
      <w:pPr>
        <w:rPr>
          <w:lang w:eastAsia="sl-SI"/>
        </w:rPr>
      </w:pPr>
    </w:p>
    <w:bookmarkEnd w:id="0"/>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sectPr w:rsidR="00663ADD" w:rsidSect="00BD69E5">
      <w:pgSz w:w="11906" w:h="16838"/>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34"/>
    <w:rsid w:val="002F5534"/>
    <w:rsid w:val="00663ADD"/>
    <w:rsid w:val="00BD69E5"/>
    <w:rsid w:val="00D1505D"/>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uleti"/>
    <w:rsid w:val="00BD69E5"/>
    <w:pPr>
      <w:spacing w:after="0" w:line="240" w:lineRule="auto"/>
    </w:pPr>
    <w:rPr>
      <w:rFonts w:ascii="Arial Narrow" w:eastAsia="MS Mincho" w:hAnsi="Arial Narrow" w:cs="Times New Roman"/>
      <w:szCs w:val="24"/>
      <w:lang w:eastAsia="en-US"/>
    </w:rPr>
  </w:style>
  <w:style w:type="paragraph" w:styleId="Heading3">
    <w:name w:val="heading 3"/>
    <w:basedOn w:val="Normal"/>
    <w:next w:val="Normal"/>
    <w:link w:val="Heading3Char1"/>
    <w:qFormat/>
    <w:rsid w:val="00BD69E5"/>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D69E5"/>
    <w:rPr>
      <w:rFonts w:asciiTheme="majorHAnsi" w:eastAsiaTheme="majorEastAsia" w:hAnsiTheme="majorHAnsi" w:cstheme="majorBidi"/>
      <w:b/>
      <w:bCs/>
      <w:color w:val="4F81BD" w:themeColor="accent1"/>
      <w:szCs w:val="24"/>
      <w:lang w:eastAsia="en-US"/>
    </w:rPr>
  </w:style>
  <w:style w:type="paragraph" w:styleId="Header">
    <w:name w:val="header"/>
    <w:basedOn w:val="Normal"/>
    <w:link w:val="HeaderChar"/>
    <w:unhideWhenUsed/>
    <w:rsid w:val="00BD69E5"/>
    <w:pPr>
      <w:tabs>
        <w:tab w:val="center" w:pos="4320"/>
        <w:tab w:val="right" w:pos="8640"/>
      </w:tabs>
    </w:pPr>
  </w:style>
  <w:style w:type="character" w:customStyle="1" w:styleId="HeaderChar">
    <w:name w:val="Header Char"/>
    <w:basedOn w:val="DefaultParagraphFont"/>
    <w:link w:val="Header"/>
    <w:rsid w:val="00BD69E5"/>
    <w:rPr>
      <w:rFonts w:ascii="Arial Narrow" w:eastAsia="MS Mincho" w:hAnsi="Arial Narrow" w:cs="Times New Roman"/>
      <w:szCs w:val="24"/>
      <w:lang w:eastAsia="en-US"/>
    </w:rPr>
  </w:style>
  <w:style w:type="table" w:styleId="TableGrid">
    <w:name w:val="Table Grid"/>
    <w:basedOn w:val="TableNormal"/>
    <w:rsid w:val="00BD69E5"/>
    <w:pPr>
      <w:spacing w:after="0" w:line="240" w:lineRule="auto"/>
    </w:pPr>
    <w:rPr>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1">
    <w:name w:val="Heading 3 Char1"/>
    <w:basedOn w:val="DefaultParagraphFont"/>
    <w:link w:val="Heading3"/>
    <w:rsid w:val="00BD69E5"/>
    <w:rPr>
      <w:rFonts w:ascii="Trebuchet MS" w:eastAsia="Times New Roman" w:hAnsi="Trebuchet MS" w:cs="Arial"/>
      <w:b/>
      <w:bCs/>
      <w:i/>
      <w:szCs w:val="26"/>
      <w:lang w:eastAsia="sl-SI"/>
    </w:rPr>
  </w:style>
  <w:style w:type="paragraph" w:customStyle="1" w:styleId="TEKST">
    <w:name w:val="TEKST"/>
    <w:basedOn w:val="Normal"/>
    <w:link w:val="TEKSTZnak"/>
    <w:rsid w:val="00BD69E5"/>
    <w:pPr>
      <w:spacing w:line="264" w:lineRule="auto"/>
      <w:jc w:val="both"/>
    </w:pPr>
    <w:rPr>
      <w:rFonts w:ascii="Trebuchet MS" w:eastAsia="Times New Roman" w:hAnsi="Trebuchet MS"/>
      <w:lang w:eastAsia="sl-SI"/>
    </w:rPr>
  </w:style>
  <w:style w:type="character" w:customStyle="1" w:styleId="TEKSTZnak">
    <w:name w:val="TEKST Znak"/>
    <w:basedOn w:val="DefaultParagraphFont"/>
    <w:link w:val="TEKST"/>
    <w:locked/>
    <w:rsid w:val="00BD69E5"/>
    <w:rPr>
      <w:rFonts w:ascii="Trebuchet MS" w:eastAsia="Times New Roman" w:hAnsi="Trebuchet MS" w:cs="Times New Roman"/>
      <w:szCs w:val="24"/>
      <w:lang w:eastAsia="sl-SI"/>
    </w:rPr>
  </w:style>
  <w:style w:type="paragraph" w:styleId="BalloonText">
    <w:name w:val="Balloon Text"/>
    <w:basedOn w:val="Normal"/>
    <w:link w:val="BalloonTextChar"/>
    <w:uiPriority w:val="99"/>
    <w:semiHidden/>
    <w:unhideWhenUsed/>
    <w:rsid w:val="00BD69E5"/>
    <w:rPr>
      <w:rFonts w:ascii="Tahoma" w:hAnsi="Tahoma" w:cs="Tahoma"/>
      <w:sz w:val="16"/>
      <w:szCs w:val="16"/>
    </w:rPr>
  </w:style>
  <w:style w:type="character" w:customStyle="1" w:styleId="BalloonTextChar">
    <w:name w:val="Balloon Text Char"/>
    <w:basedOn w:val="DefaultParagraphFont"/>
    <w:link w:val="BalloonText"/>
    <w:uiPriority w:val="99"/>
    <w:semiHidden/>
    <w:rsid w:val="00BD69E5"/>
    <w:rPr>
      <w:rFonts w:ascii="Tahoma" w:eastAsia="MS Mincho"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uleti"/>
    <w:rsid w:val="00BD69E5"/>
    <w:pPr>
      <w:spacing w:after="0" w:line="240" w:lineRule="auto"/>
    </w:pPr>
    <w:rPr>
      <w:rFonts w:ascii="Arial Narrow" w:eastAsia="MS Mincho" w:hAnsi="Arial Narrow" w:cs="Times New Roman"/>
      <w:szCs w:val="24"/>
      <w:lang w:eastAsia="en-US"/>
    </w:rPr>
  </w:style>
  <w:style w:type="paragraph" w:styleId="Heading3">
    <w:name w:val="heading 3"/>
    <w:basedOn w:val="Normal"/>
    <w:next w:val="Normal"/>
    <w:link w:val="Heading3Char1"/>
    <w:qFormat/>
    <w:rsid w:val="00BD69E5"/>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D69E5"/>
    <w:rPr>
      <w:rFonts w:asciiTheme="majorHAnsi" w:eastAsiaTheme="majorEastAsia" w:hAnsiTheme="majorHAnsi" w:cstheme="majorBidi"/>
      <w:b/>
      <w:bCs/>
      <w:color w:val="4F81BD" w:themeColor="accent1"/>
      <w:szCs w:val="24"/>
      <w:lang w:eastAsia="en-US"/>
    </w:rPr>
  </w:style>
  <w:style w:type="paragraph" w:styleId="Header">
    <w:name w:val="header"/>
    <w:basedOn w:val="Normal"/>
    <w:link w:val="HeaderChar"/>
    <w:unhideWhenUsed/>
    <w:rsid w:val="00BD69E5"/>
    <w:pPr>
      <w:tabs>
        <w:tab w:val="center" w:pos="4320"/>
        <w:tab w:val="right" w:pos="8640"/>
      </w:tabs>
    </w:pPr>
  </w:style>
  <w:style w:type="character" w:customStyle="1" w:styleId="HeaderChar">
    <w:name w:val="Header Char"/>
    <w:basedOn w:val="DefaultParagraphFont"/>
    <w:link w:val="Header"/>
    <w:rsid w:val="00BD69E5"/>
    <w:rPr>
      <w:rFonts w:ascii="Arial Narrow" w:eastAsia="MS Mincho" w:hAnsi="Arial Narrow" w:cs="Times New Roman"/>
      <w:szCs w:val="24"/>
      <w:lang w:eastAsia="en-US"/>
    </w:rPr>
  </w:style>
  <w:style w:type="table" w:styleId="TableGrid">
    <w:name w:val="Table Grid"/>
    <w:basedOn w:val="TableNormal"/>
    <w:rsid w:val="00BD69E5"/>
    <w:pPr>
      <w:spacing w:after="0" w:line="240" w:lineRule="auto"/>
    </w:pPr>
    <w:rPr>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1">
    <w:name w:val="Heading 3 Char1"/>
    <w:basedOn w:val="DefaultParagraphFont"/>
    <w:link w:val="Heading3"/>
    <w:rsid w:val="00BD69E5"/>
    <w:rPr>
      <w:rFonts w:ascii="Trebuchet MS" w:eastAsia="Times New Roman" w:hAnsi="Trebuchet MS" w:cs="Arial"/>
      <w:b/>
      <w:bCs/>
      <w:i/>
      <w:szCs w:val="26"/>
      <w:lang w:eastAsia="sl-SI"/>
    </w:rPr>
  </w:style>
  <w:style w:type="paragraph" w:customStyle="1" w:styleId="TEKST">
    <w:name w:val="TEKST"/>
    <w:basedOn w:val="Normal"/>
    <w:link w:val="TEKSTZnak"/>
    <w:rsid w:val="00BD69E5"/>
    <w:pPr>
      <w:spacing w:line="264" w:lineRule="auto"/>
      <w:jc w:val="both"/>
    </w:pPr>
    <w:rPr>
      <w:rFonts w:ascii="Trebuchet MS" w:eastAsia="Times New Roman" w:hAnsi="Trebuchet MS"/>
      <w:lang w:eastAsia="sl-SI"/>
    </w:rPr>
  </w:style>
  <w:style w:type="character" w:customStyle="1" w:styleId="TEKSTZnak">
    <w:name w:val="TEKST Znak"/>
    <w:basedOn w:val="DefaultParagraphFont"/>
    <w:link w:val="TEKST"/>
    <w:locked/>
    <w:rsid w:val="00BD69E5"/>
    <w:rPr>
      <w:rFonts w:ascii="Trebuchet MS" w:eastAsia="Times New Roman" w:hAnsi="Trebuchet MS" w:cs="Times New Roman"/>
      <w:szCs w:val="24"/>
      <w:lang w:eastAsia="sl-SI"/>
    </w:rPr>
  </w:style>
  <w:style w:type="paragraph" w:styleId="BalloonText">
    <w:name w:val="Balloon Text"/>
    <w:basedOn w:val="Normal"/>
    <w:link w:val="BalloonTextChar"/>
    <w:uiPriority w:val="99"/>
    <w:semiHidden/>
    <w:unhideWhenUsed/>
    <w:rsid w:val="00BD69E5"/>
    <w:rPr>
      <w:rFonts w:ascii="Tahoma" w:hAnsi="Tahoma" w:cs="Tahoma"/>
      <w:sz w:val="16"/>
      <w:szCs w:val="16"/>
    </w:rPr>
  </w:style>
  <w:style w:type="character" w:customStyle="1" w:styleId="BalloonTextChar">
    <w:name w:val="Balloon Text Char"/>
    <w:basedOn w:val="DefaultParagraphFont"/>
    <w:link w:val="BalloonText"/>
    <w:uiPriority w:val="99"/>
    <w:semiHidden/>
    <w:rsid w:val="00BD69E5"/>
    <w:rPr>
      <w:rFonts w:ascii="Tahoma" w:eastAsia="MS Mincho"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Gašper Vilfan</dc:creator>
  <cp:lastModifiedBy>Gašper Vilfan</cp:lastModifiedBy>
  <cp:revision>2</cp:revision>
  <dcterms:created xsi:type="dcterms:W3CDTF">2017-10-18T05:57:00Z</dcterms:created>
  <dcterms:modified xsi:type="dcterms:W3CDTF">2017-10-18T05:57:00Z</dcterms:modified>
</cp:coreProperties>
</file>